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Title -->
    <w:p>
      <w:pPr>
        <w:pStyle w:val="Heading1"/>
        <w:jc w:val="center"/>
      </w:pPr>
      <w:r>
        <w:rPr>
          <w:b/>
          <w:sz w:val="48"/>
        </w:rPr>
        <w:t>NEXUS TECHNOLOGIES</w:t>
      </w:r>
    </w:p>
    <!-- Subtitle -->
    <w:p>
      <w:pPr>
        <w:pStyle w:val="Heading2"/>
        <w:jc w:val="center"/>
      </w:pPr>
      <w:r>
        <w:rPr>
          <w:sz w:val="28"/>
        </w:rPr>
        <w:t xml:space="preserve">Product Roadmap Update </w:t>
      </w:r>
      <w:r>
        <w:rPr>
          <w:sz w:val="28"/>
        </w:rPr>
        <w:t>—</w:t>
      </w:r>
      <w:r>
        <w:rPr>
          <w:sz w:val="28"/>
        </w:rPr>
        <w:t xml:space="preserve"> Q2 2026</w:t>
      </w:r>
    </w:p>
    <!-- Prepared for -->
    <w:p>
      <w:pPr>
        <w:jc w:val="center"/>
      </w:pPr>
      <w:r>
        <w:rPr>
          <w:sz w:val="20"/>
        </w:rPr>
        <w:t>Prepared for the Board of Directors</w:t>
      </w:r>
    </w:p>
    <!-- Date -->
    <w:p>
      <w:pPr>
        <w:jc w:val="center"/>
      </w:pPr>
      <w:r>
        <w:rPr>
          <w:i/>
          <w:sz w:val="20"/>
        </w:rPr>
        <w:t>April 9, 2026</w:t>
      </w:r>
    </w:p>
    <w:p/>
    <!-- Section 1: Executive Summary -->
    <w:p>
      <w:pPr>
        <w:pStyle w:val="Heading1"/>
      </w:pPr>
      <w:r>
        <w:t>1. Executive Summary</w:t>
      </w:r>
    </w:p>
    <w:p>
      <w:r>
        <w:t xml:space="preserve">Nexus Technologies delivered exceptional Q2 2026 results, exceeding targets across nearly all key metrics. Platform MAU reached 1,580,000 (ahead of the 1,500,000 target), and ARR grew to $48.7M against a $47.0M target. Net Revenue Retention climbed to 112%, reflecting strong expansion within the existing customer base. The enterprise segment accelerated significantly to 214 accounts (surpassing the 200 target), with average contract value rising to $94K. Customer churn improved to 2.8%, NPS reached 67, and platform uptime hit 99.96%. Product velocity remained high with 11 major feature launches against a target of 10. The only area of concern is engineering headcount at 338 vs. a 340 target.</w:t>
      </w:r>
    </w:p>
    <w:p/>
    <!-- Section 2: Platform Milestones -->
    <w:p>
      <w:pPr>
        <w:pStyle w:val="Heading1"/>
      </w:pPr>
      <w:r>
        <w:t>2. Platform Milestones</w:t>
      </w:r>
    </w:p>
    <w:p>
      <w:pPr>
        <w:ind w:left="360"/>
      </w:pPr>
      <w:r>
        <w:rPr>
          <w:b/>
        </w:rPr>
        <w:t xml:space="preserve">Mobile SDK 2.0 GA </w:t>
      </w:r>
      <w:r>
        <w:t>—</w:t>
      </w:r>
      <w:r>
        <w:t xml:space="preserve"> Full release shipped April 2. Enterprise adoption ramping with 40+ integrations in first week.</w:t>
      </w:r>
    </w:p>
    <w:p>
      <w:pPr>
        <w:ind w:left="360"/>
      </w:pPr>
      <w:r>
        <w:rPr>
          <w:b/>
        </w:rPr>
        <w:t xml:space="preserve">Partner Marketplace Launch </w:t>
      </w:r>
      <w:r>
        <w:t>—</w:t>
      </w:r>
      <w:r>
        <w:t xml:space="preserve"> Went live May 1 with 25 certified integrations. Driving incremental ARR through partner-sourced deals.</w:t>
      </w:r>
    </w:p>
    <w:p>
      <w:pPr>
        <w:ind w:left="360"/>
      </w:pPr>
      <w:r>
        <w:rPr>
          <w:b/>
        </w:rPr>
        <w:t xml:space="preserve">API Gateway v3 Performance Optimization </w:t>
      </w:r>
      <w:r>
        <w:t>—</w:t>
      </w:r>
      <w:r>
        <w:t xml:space="preserve"> Average response time reduced from 142ms to 118ms (vs. 130ms target), a 17% improvement.</w:t>
      </w:r>
    </w:p>
    <w:p>
      <w:pPr>
        <w:ind w:left="360"/>
      </w:pPr>
      <w:r>
        <w:rPr>
          <w:b/>
        </w:rPr>
        <w:t xml:space="preserve">Support Operations Overhaul </w:t>
      </w:r>
      <w:r>
        <w:t>—</w:t>
      </w:r>
      <w:r>
        <w:t xml:space="preserve"> Ticket resolution time reduced from 4.8 hrs to 3.9 hrs (target: 4.5 hrs), a 19% improvement.</w:t>
      </w:r>
    </w:p>
    <w:p/>
    <!-- Section 3: Key Performance Metrics -->
    <w:p>
      <w:pPr>
        <w:pStyle w:val="Heading1"/>
      </w:pPr>
      <w:r>
        <w:t>3. Key Performance Metrics (Q2 2026)</w:t>
      </w:r>
    </w:p>
    <!-- Metrics Table -->
    <w:tbl>
      <w:tblPr>
        <w:tblStyle w:val="TableGrid"/>
        <w:tblW w:w="9360" w:type="dxa"/>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Layout w:type="fixed"/>
      </w:tblPr>
      <w:tblGrid>
        <w:gridCol w:w="3200"/>
        <w:gridCol w:w="1540"/>
        <w:gridCol w:w="1540"/>
        <w:gridCol w:w="1540"/>
        <w:gridCol w:w="1540"/>
      </w:tblGrid>
      <!-- Header Row -->
      <w:tr>
        <w:trPr>
          <w:tblHeader/>
        </w:trPr>
        <w:tc>
          <w:tcPr>
            <w:shd w:val="clear" w:color="auto" w:fill="003366"/>
          </w:tcPr>
          <w:p>
            <w:r>
              <w:rPr>
                <w:b/>
                <w:color w:val="FFFFFF"/>
                <w:sz w:val="20"/>
              </w:rPr>
              <w:t>Metric</w:t>
            </w:r>
          </w:p>
        </w:tc>
        <w:tc>
          <w:tcPr>
            <w:shd w:val="clear" w:color="auto" w:fill="003366"/>
          </w:tcPr>
          <w:p>
            <w:pPr>
              <w:jc w:val="center"/>
            </w:pPr>
            <w:r>
              <w:rPr>
                <w:b/>
                <w:color w:val="FFFFFF"/>
                <w:sz w:val="20"/>
              </w:rPr>
              <w:t>Q1 Actual</w:t>
            </w:r>
          </w:p>
        </w:tc>
        <w:tc>
          <w:tcPr>
            <w:shd w:val="clear" w:color="auto" w:fill="003366"/>
          </w:tcPr>
          <w:p>
            <w:pPr>
              <w:jc w:val="center"/>
            </w:pPr>
            <w:r>
              <w:rPr>
                <w:b/>
                <w:color w:val="FFFFFF"/>
                <w:sz w:val="20"/>
              </w:rPr>
              <w:t>Q2 Actual</w:t>
            </w:r>
          </w:p>
        </w:tc>
        <w:tc>
          <w:tcPr>
            <w:shd w:val="clear" w:color="auto" w:fill="003366"/>
          </w:tcPr>
          <w:p>
            <w:pPr>
              <w:jc w:val="center"/>
            </w:pPr>
            <w:r>
              <w:rPr>
                <w:b/>
                <w:color w:val="FFFFFF"/>
                <w:sz w:val="20"/>
              </w:rPr>
              <w:t>Q2 Target</w:t>
            </w:r>
          </w:p>
        </w:tc>
        <w:tc>
          <w:tcPr>
            <w:shd w:val="clear" w:color="auto" w:fill="003366"/>
          </w:tcPr>
          <w:p>
            <w:pPr>
              <w:jc w:val="center"/>
            </w:pPr>
            <w:r>
              <w:rPr>
                <w:b/>
                <w:color w:val="FFFFFF"/>
                <w:sz w:val="20"/>
              </w:rPr>
              <w:t>Status</w:t>
            </w:r>
          </w:p>
        </w:tc>
      </w:tr>
      <!-- MAU -->
      <w:tr>
        <w:tc>
          <w:p>
            <w:r>
              <w:rPr>
                <w:sz w:val="20"/>
              </w:rPr>
              <w:t>Monthly Active Users (MAU)</w:t>
            </w:r>
          </w:p>
        </w:tc>
        <w:tc>
          <w:p>
            <w:pPr>
              <w:jc w:val="center"/>
            </w:pPr>
            <w:r>
              <w:rPr>
                <w:sz w:val="20"/>
              </w:rPr>
              <w:t>1,240,000</w:t>
            </w:r>
          </w:p>
        </w:tc>
        <w:tc>
          <w:p>
            <w:pPr>
              <w:jc w:val="center"/>
            </w:pPr>
            <w:r>
              <w:rPr>
                <w:b/>
                <w:sz w:val="20"/>
              </w:rPr>
              <w:t>1,580,000</w:t>
            </w:r>
          </w:p>
        </w:tc>
        <w:tc>
          <w:p>
            <w:pPr>
              <w:jc w:val="center"/>
            </w:pPr>
            <w:r>
              <w:rPr>
                <w:sz w:val="20"/>
              </w:rPr>
              <w:t>1,500,000</w:t>
            </w:r>
          </w:p>
        </w:tc>
        <w:tc>
          <w:tcPr>
            <w:shd w:val="clear" w:color="auto" w:fill="E6F4EA"/>
          </w:tcPr>
          <w:p>
            <w:pPr>
              <w:jc w:val="center"/>
            </w:pPr>
            <w:r>
              <w:rPr>
                <w:b/>
                <w:color w:val="137333"/>
                <w:sz w:val="20"/>
              </w:rPr>
              <w:t>Ahead</w:t>
            </w:r>
          </w:p>
        </w:tc>
      </w:tr>
      <!-- ARR -->
      <w:tr>
        <w:tc>
          <w:p>
            <w:r>
              <w:rPr>
                <w:sz w:val="20"/>
              </w:rPr>
              <w:t>Annual Recurring Revenue ($M)</w:t>
            </w:r>
          </w:p>
        </w:tc>
        <w:tc>
          <w:p>
            <w:pPr>
              <w:jc w:val="center"/>
            </w:pPr>
            <w:r>
              <w:rPr>
                <w:sz w:val="20"/>
              </w:rPr>
              <w:t>42.3</w:t>
            </w:r>
          </w:p>
        </w:tc>
        <w:tc>
          <w:p>
            <w:pPr>
              <w:jc w:val="center"/>
            </w:pPr>
            <w:r>
              <w:rPr>
                <w:b/>
                <w:sz w:val="20"/>
              </w:rPr>
              <w:t>48.7</w:t>
            </w:r>
          </w:p>
        </w:tc>
        <w:tc>
          <w:p>
            <w:pPr>
              <w:jc w:val="center"/>
            </w:pPr>
            <w:r>
              <w:rPr>
                <w:sz w:val="20"/>
              </w:rPr>
              <w:t>47.0</w:t>
            </w:r>
          </w:p>
        </w:tc>
        <w:tc>
          <w:tcPr>
            <w:shd w:val="clear" w:color="auto" w:fill="E6F4EA"/>
          </w:tcPr>
          <w:p>
            <w:pPr>
              <w:jc w:val="center"/>
            </w:pPr>
            <w:r>
              <w:rPr>
                <w:b/>
                <w:color w:val="137333"/>
                <w:sz w:val="20"/>
              </w:rPr>
              <w:t>Ahead</w:t>
            </w:r>
          </w:p>
        </w:tc>
      </w:tr>
      <!-- NRR -->
      <w:tr>
        <w:tc>
          <w:p>
            <w:r>
              <w:rPr>
                <w:sz w:val="20"/>
              </w:rPr>
              <w:t>Net Revenue Retention (%)</w:t>
            </w:r>
          </w:p>
        </w:tc>
        <w:tc>
          <w:p>
            <w:pPr>
              <w:jc w:val="center"/>
            </w:pPr>
            <w:r>
              <w:rPr>
                <w:sz w:val="20"/>
              </w:rPr>
              <w:t>108</w:t>
            </w:r>
          </w:p>
        </w:tc>
        <w:tc>
          <w:p>
            <w:pPr>
              <w:jc w:val="center"/>
            </w:pPr>
            <w:r>
              <w:rPr>
                <w:b/>
                <w:sz w:val="20"/>
              </w:rPr>
              <w:t>112</w:t>
            </w:r>
          </w:p>
        </w:tc>
        <w:tc>
          <w:p>
            <w:pPr>
              <w:jc w:val="center"/>
            </w:pPr>
            <w:r>
              <w:rPr>
                <w:sz w:val="20"/>
              </w:rPr>
              <w:t>110</w:t>
            </w:r>
          </w:p>
        </w:tc>
        <w:tc>
          <w:tcPr>
            <w:shd w:val="clear" w:color="auto" w:fill="E6F4EA"/>
          </w:tcPr>
          <w:p>
            <w:pPr>
              <w:jc w:val="center"/>
            </w:pPr>
            <w:r>
              <w:rPr>
                <w:b/>
                <w:color w:val="137333"/>
                <w:sz w:val="20"/>
              </w:rPr>
              <w:t>Ahead</w:t>
            </w:r>
          </w:p>
        </w:tc>
      </w:tr>
      <!-- Churn -->
      <w:tr>
        <w:tc>
          <w:p>
            <w:r>
              <w:rPr>
                <w:sz w:val="20"/>
              </w:rPr>
              <w:t>Customer Churn Rate (%)</w:t>
            </w:r>
          </w:p>
        </w:tc>
        <w:tc>
          <w:p>
            <w:pPr>
              <w:jc w:val="center"/>
            </w:pPr>
            <w:r>
              <w:rPr>
                <w:sz w:val="20"/>
              </w:rPr>
              <w:t>3.2</w:t>
            </w:r>
          </w:p>
        </w:tc>
        <w:tc>
          <w:p>
            <w:pPr>
              <w:jc w:val="center"/>
            </w:pPr>
            <w:r>
              <w:rPr>
                <w:b/>
                <w:sz w:val="20"/>
              </w:rPr>
              <w:t>2.8</w:t>
            </w:r>
          </w:p>
        </w:tc>
        <w:tc>
          <w:p>
            <w:pPr>
              <w:jc w:val="center"/>
            </w:pPr>
            <w:r>
              <w:rPr>
                <w:sz w:val="20"/>
              </w:rPr>
              <w:t>3.0</w:t>
            </w:r>
          </w:p>
        </w:tc>
        <w:tc>
          <w:tcPr>
            <w:shd w:val="clear" w:color="auto" w:fill="E6F4EA"/>
          </w:tcPr>
          <w:p>
            <w:pPr>
              <w:jc w:val="center"/>
            </w:pPr>
            <w:r>
              <w:rPr>
                <w:b/>
                <w:color w:val="137333"/>
                <w:sz w:val="20"/>
              </w:rPr>
              <w:t>On Track</w:t>
            </w:r>
          </w:p>
        </w:tc>
      </w:tr>
      <!-- NPS -->
      <w:tr>
        <w:tc>
          <w:p>
            <w:r>
              <w:rPr>
                <w:sz w:val="20"/>
              </w:rPr>
              <w:t>NPS Score</w:t>
            </w:r>
          </w:p>
        </w:tc>
        <w:tc>
          <w:p>
            <w:pPr>
              <w:jc w:val="center"/>
            </w:pPr>
            <w:r>
              <w:rPr>
                <w:sz w:val="20"/>
              </w:rPr>
              <w:t>62</w:t>
            </w:r>
          </w:p>
        </w:tc>
        <w:tc>
          <w:p>
            <w:pPr>
              <w:jc w:val="center"/>
            </w:pPr>
            <w:r>
              <w:rPr>
                <w:b/>
                <w:sz w:val="20"/>
              </w:rPr>
              <w:t>67</w:t>
            </w:r>
          </w:p>
        </w:tc>
        <w:tc>
          <w:p>
            <w:pPr>
              <w:jc w:val="center"/>
            </w:pPr>
            <w:r>
              <w:rPr>
                <w:sz w:val="20"/>
              </w:rPr>
              <w:t>65</w:t>
            </w:r>
          </w:p>
        </w:tc>
        <w:tc>
          <w:tcPr>
            <w:shd w:val="clear" w:color="auto" w:fill="E6F4EA"/>
          </w:tcPr>
          <w:p>
            <w:pPr>
              <w:jc w:val="center"/>
            </w:pPr>
            <w:r>
              <w:rPr>
                <w:b/>
                <w:color w:val="137333"/>
                <w:sz w:val="20"/>
              </w:rPr>
              <w:t>On Track</w:t>
            </w:r>
          </w:p>
        </w:tc>
      </w:tr>
      <!-- Enterprise Accounts -->
      <w:tr>
        <w:tc>
          <w:p>
            <w:r>
              <w:rPr>
                <w:sz w:val="20"/>
              </w:rPr>
              <w:t>Enterprise Accounts</w:t>
            </w:r>
          </w:p>
        </w:tc>
        <w:tc>
          <w:p>
            <w:pPr>
              <w:jc w:val="center"/>
            </w:pPr>
            <w:r>
              <w:rPr>
                <w:sz w:val="20"/>
              </w:rPr>
              <w:t>187</w:t>
            </w:r>
          </w:p>
        </w:tc>
        <w:tc>
          <w:p>
            <w:pPr>
              <w:jc w:val="center"/>
            </w:pPr>
            <w:r>
              <w:rPr>
                <w:b/>
                <w:sz w:val="20"/>
              </w:rPr>
              <w:t>214</w:t>
            </w:r>
          </w:p>
        </w:tc>
        <w:tc>
          <w:p>
            <w:pPr>
              <w:jc w:val="center"/>
            </w:pPr>
            <w:r>
              <w:rPr>
                <w:sz w:val="20"/>
              </w:rPr>
              <w:t>200</w:t>
            </w:r>
          </w:p>
        </w:tc>
        <w:tc>
          <w:tcPr>
            <w:shd w:val="clear" w:color="auto" w:fill="E6F4EA"/>
          </w:tcPr>
          <w:p>
            <w:pPr>
              <w:jc w:val="center"/>
            </w:pPr>
            <w:r>
              <w:rPr>
                <w:b/>
                <w:color w:val="137333"/>
                <w:sz w:val="20"/>
              </w:rPr>
              <w:t>Ahead</w:t>
            </w:r>
          </w:p>
        </w:tc>
      </w:tr>
      <!-- ACV -->
      <w:tr>
        <w:tc>
          <w:p>
            <w:r>
              <w:rPr>
                <w:sz w:val="20"/>
              </w:rPr>
              <w:t>Average Contract Value ($K)</w:t>
            </w:r>
          </w:p>
        </w:tc>
        <w:tc>
          <w:p>
            <w:pPr>
              <w:jc w:val="center"/>
            </w:pPr>
            <w:r>
              <w:rPr>
                <w:sz w:val="20"/>
              </w:rPr>
              <w:t>89</w:t>
            </w:r>
          </w:p>
        </w:tc>
        <w:tc>
          <w:p>
            <w:pPr>
              <w:jc w:val="center"/>
            </w:pPr>
            <w:r>
              <w:rPr>
                <w:b/>
                <w:sz w:val="20"/>
              </w:rPr>
              <w:t>94</w:t>
            </w:r>
          </w:p>
        </w:tc>
        <w:tc>
          <w:p>
            <w:pPr>
              <w:jc w:val="center"/>
            </w:pPr>
            <w:r>
              <w:rPr>
                <w:sz w:val="20"/>
              </w:rPr>
              <w:t>92</w:t>
            </w:r>
          </w:p>
        </w:tc>
        <w:tc>
          <w:tcPr>
            <w:shd w:val="clear" w:color="auto" w:fill="E6F4EA"/>
          </w:tcPr>
          <w:p>
            <w:pPr>
              <w:jc w:val="center"/>
            </w:pPr>
            <w:r>
              <w:rPr>
                <w:b/>
                <w:color w:val="137333"/>
                <w:sz w:val="20"/>
              </w:rPr>
              <w:t>On Track</w:t>
            </w:r>
          </w:p>
        </w:tc>
      </w:tr>
      <!-- Uptime -->
      <w:tr>
        <w:tc>
          <w:p>
            <w:r>
              <w:rPr>
                <w:sz w:val="20"/>
              </w:rPr>
              <w:t>Platform Uptime (%)</w:t>
            </w:r>
          </w:p>
        </w:tc>
        <w:tc>
          <w:p>
            <w:pPr>
              <w:jc w:val="center"/>
            </w:pPr>
            <w:r>
              <w:rPr>
                <w:sz w:val="20"/>
              </w:rPr>
              <w:t>99.91</w:t>
            </w:r>
          </w:p>
        </w:tc>
        <w:tc>
          <w:p>
            <w:pPr>
              <w:jc w:val="center"/>
            </w:pPr>
            <w:r>
              <w:rPr>
                <w:b/>
                <w:sz w:val="20"/>
              </w:rPr>
              <w:t>99.96</w:t>
            </w:r>
          </w:p>
        </w:tc>
        <w:tc>
          <w:p>
            <w:pPr>
              <w:jc w:val="center"/>
            </w:pPr>
            <w:r>
              <w:rPr>
                <w:sz w:val="20"/>
              </w:rPr>
              <w:t>99.95</w:t>
            </w:r>
          </w:p>
        </w:tc>
        <w:tc>
          <w:tcPr>
            <w:shd w:val="clear" w:color="auto" w:fill="E6F4EA"/>
          </w:tcPr>
          <w:p>
            <w:pPr>
              <w:jc w:val="center"/>
            </w:pPr>
            <w:r>
              <w:rPr>
                <w:b/>
                <w:color w:val="137333"/>
                <w:sz w:val="20"/>
              </w:rPr>
              <w:t>On Track</w:t>
            </w:r>
          </w:p>
        </w:tc>
      </w:tr>
      <!-- API Response Time -->
      <w:tr>
        <w:tc>
          <w:p>
            <w:r>
              <w:rPr>
                <w:sz w:val="20"/>
              </w:rPr>
              <w:t>API Response Time (ms)</w:t>
            </w:r>
          </w:p>
        </w:tc>
        <w:tc>
          <w:p>
            <w:pPr>
              <w:jc w:val="center"/>
            </w:pPr>
            <w:r>
              <w:rPr>
                <w:sz w:val="20"/>
              </w:rPr>
              <w:t>142</w:t>
            </w:r>
          </w:p>
        </w:tc>
        <w:tc>
          <w:p>
            <w:pPr>
              <w:jc w:val="center"/>
            </w:pPr>
            <w:r>
              <w:rPr>
                <w:b/>
                <w:sz w:val="20"/>
              </w:rPr>
              <w:t>118</w:t>
            </w:r>
          </w:p>
        </w:tc>
        <w:tc>
          <w:p>
            <w:pPr>
              <w:jc w:val="center"/>
            </w:pPr>
            <w:r>
              <w:rPr>
                <w:sz w:val="20"/>
              </w:rPr>
              <w:t>130</w:t>
            </w:r>
          </w:p>
        </w:tc>
        <w:tc>
          <w:tcPr>
            <w:shd w:val="clear" w:color="auto" w:fill="E6F4EA"/>
          </w:tcPr>
          <w:p>
            <w:pPr>
              <w:jc w:val="center"/>
            </w:pPr>
            <w:r>
              <w:rPr>
                <w:b/>
                <w:color w:val="137333"/>
                <w:sz w:val="20"/>
              </w:rPr>
              <w:t>Ahead</w:t>
            </w:r>
          </w:p>
        </w:tc>
      </w:tr>
      <!-- Support Resolution -->
      <w:tr>
        <w:tc>
          <w:p>
            <w:r>
              <w:rPr>
                <w:sz w:val="20"/>
              </w:rPr>
              <w:t>Support Ticket Resolution (hrs)</w:t>
            </w:r>
          </w:p>
        </w:tc>
        <w:tc>
          <w:p>
            <w:pPr>
              <w:jc w:val="center"/>
            </w:pPr>
            <w:r>
              <w:rPr>
                <w:sz w:val="20"/>
              </w:rPr>
              <w:t>4.8</w:t>
            </w:r>
          </w:p>
        </w:tc>
        <w:tc>
          <w:p>
            <w:pPr>
              <w:jc w:val="center"/>
            </w:pPr>
            <w:r>
              <w:rPr>
                <w:b/>
                <w:sz w:val="20"/>
              </w:rPr>
              <w:t>3.9</w:t>
            </w:r>
          </w:p>
        </w:tc>
        <w:tc>
          <w:p>
            <w:pPr>
              <w:jc w:val="center"/>
            </w:pPr>
            <w:r>
              <w:rPr>
                <w:sz w:val="20"/>
              </w:rPr>
              <w:t>4.5</w:t>
            </w:r>
          </w:p>
        </w:tc>
        <w:tc>
          <w:tcPr>
            <w:shd w:val="clear" w:color="auto" w:fill="E6F4EA"/>
          </w:tcPr>
          <w:p>
            <w:pPr>
              <w:jc w:val="center"/>
            </w:pPr>
            <w:r>
              <w:rPr>
                <w:b/>
                <w:color w:val="137333"/>
                <w:sz w:val="20"/>
              </w:rPr>
              <w:t>Ahead</w:t>
            </w:r>
          </w:p>
        </w:tc>
      </w:tr>
      <!-- Feature Launches -->
      <w:tr>
        <w:tc>
          <w:p>
            <w:r>
              <w:rPr>
                <w:sz w:val="20"/>
              </w:rPr>
              <w:t>New Feature Launches</w:t>
            </w:r>
          </w:p>
        </w:tc>
        <w:tc>
          <w:p>
            <w:pPr>
              <w:jc w:val="center"/>
            </w:pPr>
            <w:r>
              <w:rPr>
                <w:sz w:val="20"/>
              </w:rPr>
              <w:t>8</w:t>
            </w:r>
          </w:p>
        </w:tc>
        <w:tc>
          <w:p>
            <w:pPr>
              <w:jc w:val="center"/>
            </w:pPr>
            <w:r>
              <w:rPr>
                <w:b/>
                <w:sz w:val="20"/>
              </w:rPr>
              <w:t>11</w:t>
            </w:r>
          </w:p>
        </w:tc>
        <w:tc>
          <w:p>
            <w:pPr>
              <w:jc w:val="center"/>
            </w:pPr>
            <w:r>
              <w:rPr>
                <w:sz w:val="20"/>
              </w:rPr>
              <w:t>10</w:t>
            </w:r>
          </w:p>
        </w:tc>
        <w:tc>
          <w:tcPr>
            <w:shd w:val="clear" w:color="auto" w:fill="E6F4EA"/>
          </w:tcPr>
          <w:p>
            <w:pPr>
              <w:jc w:val="center"/>
            </w:pPr>
            <w:r>
              <w:rPr>
                <w:b/>
                <w:color w:val="137333"/>
                <w:sz w:val="20"/>
              </w:rPr>
              <w:t>On Track</w:t>
            </w:r>
          </w:p>
        </w:tc>
      </w:tr>
      <!-- Headcount -->
      <w:tr>
        <w:tc>
          <w:p>
            <w:r>
              <w:rPr>
                <w:sz w:val="20"/>
              </w:rPr>
              <w:t>Employee Headcount</w:t>
            </w:r>
          </w:p>
        </w:tc>
        <w:tc>
          <w:p>
            <w:pPr>
              <w:jc w:val="center"/>
            </w:pPr>
            <w:r>
              <w:rPr>
                <w:sz w:val="20"/>
              </w:rPr>
              <w:t>312</w:t>
            </w:r>
          </w:p>
        </w:tc>
        <w:tc>
          <w:p>
            <w:pPr>
              <w:jc w:val="center"/>
            </w:pPr>
            <w:r>
              <w:rPr>
                <w:b/>
                <w:sz w:val="20"/>
              </w:rPr>
              <w:t>338</w:t>
            </w:r>
          </w:p>
        </w:tc>
        <w:tc>
          <w:p>
            <w:pPr>
              <w:jc w:val="center"/>
            </w:pPr>
            <w:r>
              <w:rPr>
                <w:sz w:val="20"/>
              </w:rPr>
              <w:t>340</w:t>
            </w:r>
          </w:p>
        </w:tc>
        <w:tc>
          <w:tcPr>
            <w:shd w:val="clear" w:color="auto" w:fill="FFF3E0"/>
          </w:tcPr>
          <w:p>
            <w:pPr>
              <w:jc w:val="center"/>
            </w:pPr>
            <w:r>
              <w:rPr>
                <w:b/>
                <w:color w:val="E65100"/>
                <w:sz w:val="20"/>
              </w:rPr>
              <w:t>At Risk</w:t>
            </w:r>
          </w:p>
        </w:tc>
      </w:tr>
    </w:tbl>
    <w:p/>
    <!-- Section 4: Risk Assessment -->
    <w:p>
      <w:pPr>
        <w:pStyle w:val="Heading1"/>
      </w:pPr>
      <w:r>
        <w:t>4. Risk Assessment</w:t>
      </w:r>
    </w:p>
    <w:p>
      <w:pPr>
        <w:ind w:left="360"/>
      </w:pPr>
      <w:r>
        <w:rPr>
          <w:b/>
        </w:rPr>
        <w:t xml:space="preserve">Headcount </w:t>
      </w:r>
      <w:r>
        <w:t>—</w:t>
      </w:r>
      <w:r>
        <w:t xml:space="preserve"> Engineering headcount reached 338 against a 340 target. While the gap narrowed from Q1 (312 vs. 320), hiring velocity needs to increase to support Q3 product plans. Recruiter capacity expansion from Q1 is yielding results but remains the one metric flagged At Risk.</w:t>
      </w:r>
    </w:p>
    <w:p>
      <w:pPr>
        <w:ind w:left="360"/>
      </w:pPr>
      <w:r>
        <w:rPr>
          <w:b/>
        </w:rPr>
        <w:t xml:space="preserve">Enterprise pipeline concentration </w:t>
      </w:r>
      <w:r>
        <w:t>—</w:t>
      </w:r>
      <w:r>
        <w:t xml:space="preserve"> While enterprise accounts surpassed target (214 vs. 200), top-10 accounts represent 28% of ARR. Diversification efforts through the partner marketplace are underway.</w:t>
      </w:r>
    </w:p>
    <w:p>
      <w:pPr>
        <w:ind w:left="360"/>
      </w:pPr>
      <w:r>
        <w:rPr>
          <w:b/>
        </w:rPr>
        <w:t xml:space="preserve">Platform uptime </w:t>
      </w:r>
      <w:r>
        <w:t>—</w:t>
      </w:r>
      <w:r>
        <w:t xml:space="preserve"> Improved from 99.91% to 99.96% following Q1 redundancy improvements. Now exceeding the 99.95% SLA target. Risk mitigated.</w:t>
      </w:r>
    </w:p>
    <w:p/>
    <!-- Section 5: Outlook -->
    <w:p>
      <w:pPr>
        <w:pStyle w:val="Heading1"/>
      </w:pPr>
      <w:r>
        <w:t>5. Q3 Outlook</w:t>
      </w:r>
    </w:p>
    <w:p>
      <w:r>
        <w:t xml:space="preserve">Q3 priorities include scaling the partner marketplace to 50+ integrations, reaching $52M ARR, closing the headcount gap to target, and launching the next-generation analytics platform. With Q2 momentum across all major metrics, the company is well-positioned to deliver on its H2 commitments.</w:t>
      </w:r>
    </w:p>
    <w:p/>
    <!-- Signature -->
    <w:p>
      <w:pPr>
        <w:jc w:val="right"/>
      </w:pPr>
      <w:r>
        <w:rPr>
          <w:i/>
          <w:sz w:val="20"/>
        </w:rPr>
        <w:t>Submitted by: Sarah Chen, VP of Product</w:t>
      </w:r>
    </w:p>
    <w:sectPr>
      <w:footerReference w:type="default" r:id="rId2"/>
      <w:pgSz w:w="12240" w:h="15840"/>
      <w:pgMar w:top="1440" w:right="1440" w:bottom="1440" w:left="1440" w:header="720" w:footer="720"/>
    </w:sectPr>
  </w:body>
</w:document>
</file>

<file path=word/footer1.xml><?xml version="1.0" encoding="utf-8"?>
<w:ftr xmlns:w="http://schemas.openxmlformats.org/wordprocessingml/2006/main" xmlns:r="http://schemas.openxmlformats.org/officeDocument/2006/relationships">
  <w:p>
    <w:pPr>
      <w:jc w:val="center"/>
    </w:pPr>
    <w:r>
      <w:rPr>
        <w:sz w:val="18"/>
      </w:rPr>
      <w:t xml:space="preserve">Nexus Technologies — Confidential — Page </w:t>
    </w:r>
    <w:r>
      <w:fldChar w:fldCharType="begin"/>
    </w:r>
    <w:r>
      <w:instrText> PAGE </w:instrText>
    </w:r>
    <w:r>
      <w:fldChar w:fldCharType="end"/>
    </w:r>
  </w:p>
</w:ftr>
</file>

<file path=word/styles.xml><?xml version="1.0" encoding="utf-8"?>
<w:styles xmlns:w="http://schemas.openxmlformats.org/wordprocessingml/2006/main" xmlns:r="http://schemas.openxmlformats.org/officeDocument/2006/relationships">
  <w:docDefaults>
    <w:rPrDefault>
      <w:rPr>
        <w:rFonts w:ascii="Arial" w:hAnsi="Arial" w:cs="Arial"/>
        <w:sz w:val="22"/>
        <w:szCs w:val="22"/>
        <w:lang w:val="en-US"/>
      </w:rPr>
    </w:rPrDefault>
    <w:pPrDefault>
      <w:pPr>
        <w:spacing w:after="160" w:line="276" w:lineRule="auto"/>
      </w:pPr>
    </w:pPrDefault>
  </w:docDefaults>
  <w:style w:type="paragraph" w:default="1" w:styleId="Normal">
    <w:name w:val="Normal"/>
    <w:qFormat/>
    <w:rPr>
      <w:rFonts w:ascii="Arial" w:hAnsi="Arial"/>
      <w:sz w:val="22"/>
    </w:rPr>
  </w:style>
  <w:style w:type="paragraph" w:styleId="Heading1">
    <w:name w:val="heading 1"/>
    <w:basedOn w:val="Normal"/>
    <w:next w:val="Normal"/>
    <w:qFormat/>
    <w:pPr>
      <w:keepNext/>
      <w:keepLines/>
      <w:spacing w:before="360" w:after="120"/>
      <w:outlineLvl w:val="0"/>
    </w:pPr>
    <w:rPr>
      <w:rFonts w:ascii="Arial" w:hAnsi="Arial"/>
      <w:b/>
      <w:color w:val="003366"/>
      <w:sz w:val="28"/>
      <w:szCs w:val="28"/>
    </w:rPr>
  </w:style>
  <w:style w:type="paragraph" w:styleId="Heading2">
    <w:name w:val="heading 2"/>
    <w:basedOn w:val="Normal"/>
    <w:next w:val="Normal"/>
    <w:qFormat/>
    <w:pPr>
      <w:keepNext/>
      <w:keepLines/>
      <w:spacing w:before="240" w:after="80"/>
      <w:outlineLvl w:val="1"/>
    </w:pPr>
    <w:rPr>
      <w:rFonts w:ascii="Arial" w:hAnsi="Arial"/>
      <w:b/>
      <w:color w:val="003366"/>
      <w:sz w:val="24"/>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default="1" w:styleId="TableNormal">
    <w:name w:val="Normal Table"/>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footer" Target="footer1.xml"/>
</Relationships>
</file>